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65" w:rsidRPr="00613300" w:rsidRDefault="007E125D" w:rsidP="00613300">
      <w:pPr>
        <w:jc w:val="center"/>
        <w:rPr>
          <w:rFonts w:ascii="Book Antiqua" w:hAnsi="Book Antiqua"/>
          <w:b/>
          <w:sz w:val="24"/>
          <w:szCs w:val="24"/>
        </w:rPr>
      </w:pPr>
      <w:r w:rsidRPr="00613300">
        <w:rPr>
          <w:rFonts w:ascii="Book Antiqua" w:hAnsi="Book Antiqua"/>
          <w:b/>
          <w:sz w:val="24"/>
          <w:szCs w:val="24"/>
        </w:rPr>
        <w:t>Počátky integrace západní Evropy.</w:t>
      </w:r>
    </w:p>
    <w:p w:rsidR="007E125D" w:rsidRPr="00613300" w:rsidRDefault="007E125D" w:rsidP="00613300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613300">
        <w:rPr>
          <w:rFonts w:ascii="Book Antiqua" w:hAnsi="Book Antiqua"/>
        </w:rPr>
        <w:t>Díky Marshallově plánu a spolupráci mezi západoevropskými státy dosáhla většina z nich už 10 let po válce předválečné úrovně výroby, nebývale vzrostla i životní úroveň obyvatel</w:t>
      </w:r>
    </w:p>
    <w:p w:rsidR="007E125D" w:rsidRPr="00613300" w:rsidRDefault="007E125D" w:rsidP="00613300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613300">
        <w:rPr>
          <w:rFonts w:ascii="Book Antiqua" w:hAnsi="Book Antiqua"/>
        </w:rPr>
        <w:t>Stát měl větší odpovědnost za hospodářský výkon země (zásahy státu do ekonomiky), ale zůstaly tu (na rozdíl do východní Evropy) zachovány principy tržní ekonomiky</w:t>
      </w:r>
    </w:p>
    <w:p w:rsidR="007E125D" w:rsidRPr="00613300" w:rsidRDefault="007E125D" w:rsidP="00613300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613300">
        <w:rPr>
          <w:rFonts w:ascii="Book Antiqua" w:hAnsi="Book Antiqua"/>
        </w:rPr>
        <w:t>Sociální zákonodárství a solidarita – jedinec obětoval část svých příjmů (ve formě daní), ty pak sloužily celé společnosti</w:t>
      </w:r>
    </w:p>
    <w:p w:rsidR="007E125D" w:rsidRPr="00613300" w:rsidRDefault="007E125D" w:rsidP="00613300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613300">
        <w:rPr>
          <w:rFonts w:ascii="Book Antiqua" w:hAnsi="Book Antiqua"/>
        </w:rPr>
        <w:t>Bezplatné školství a zdravotní péče, budování bytů pro mladé rodiny a sociálně slabé</w:t>
      </w:r>
    </w:p>
    <w:p w:rsidR="007E125D" w:rsidRPr="00613300" w:rsidRDefault="007E125D" w:rsidP="00613300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613300">
        <w:rPr>
          <w:rFonts w:ascii="Book Antiqua" w:hAnsi="Book Antiqua"/>
        </w:rPr>
        <w:t>Zvyšující se životní úroveň vede k prohlubování demokracie (např. v Německu), problémy se slabými vládami (a boji v Alžírsku) má Francie – řešením je prohloubení presidentských pravomocí – Francie dodnes v podstatě presidentským systémem (na rozdíl od ostatních zemí)</w:t>
      </w:r>
    </w:p>
    <w:p w:rsidR="007E125D" w:rsidRPr="00613300" w:rsidRDefault="007E125D" w:rsidP="00613300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613300">
        <w:rPr>
          <w:rFonts w:ascii="Book Antiqua" w:hAnsi="Book Antiqua"/>
        </w:rPr>
        <w:t>Od poloviny 60. let vzpoura mladých proti systému, chtějí žít jinak</w:t>
      </w:r>
      <w:r w:rsidR="0069059E" w:rsidRPr="00613300">
        <w:rPr>
          <w:rFonts w:ascii="Book Antiqua" w:hAnsi="Book Antiqua"/>
        </w:rPr>
        <w:t>, zajímavě, hledají prostor pro seberealizaci a odmítají honbu za majetkem, menší část mládeže dokonce přijímá komunistické myšlenky</w:t>
      </w:r>
      <w:r w:rsidR="00613300">
        <w:rPr>
          <w:rFonts w:ascii="Book Antiqua" w:hAnsi="Book Antiqua"/>
        </w:rPr>
        <w:t>, z toho plynou problémy v pozdějších letech – násilí v ulicích, teroristické skupiny, např. Frakce Rudé armády (RAF) v NSR, alternativní způsoby života (squat, drogy, volná láska)</w:t>
      </w:r>
      <w:bookmarkStart w:id="0" w:name="_GoBack"/>
      <w:bookmarkEnd w:id="0"/>
    </w:p>
    <w:p w:rsidR="0069059E" w:rsidRPr="00613300" w:rsidRDefault="0069059E" w:rsidP="00613300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613300">
        <w:rPr>
          <w:rFonts w:ascii="Book Antiqua" w:hAnsi="Book Antiqua"/>
        </w:rPr>
        <w:t>Příčinu minulých válek vidí političtí představitelé ve vypjatém nacionalismu, pokud by evropské státy spolupracovaly, důvody k válce by pominuly</w:t>
      </w:r>
    </w:p>
    <w:p w:rsidR="0069059E" w:rsidRPr="00613300" w:rsidRDefault="0069059E" w:rsidP="00613300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613300">
        <w:rPr>
          <w:rFonts w:ascii="Book Antiqua" w:hAnsi="Book Antiqua"/>
        </w:rPr>
        <w:t xml:space="preserve">Dlouhodobým problémem byly francouzsko-německé spory, nyní zásluhou západoněmeckého kancléře Konrada </w:t>
      </w:r>
      <w:proofErr w:type="spellStart"/>
      <w:r w:rsidRPr="00613300">
        <w:rPr>
          <w:rFonts w:ascii="Book Antiqua" w:hAnsi="Book Antiqua"/>
        </w:rPr>
        <w:t>Adenauera</w:t>
      </w:r>
      <w:proofErr w:type="spellEnd"/>
      <w:r w:rsidRPr="00613300">
        <w:rPr>
          <w:rFonts w:ascii="Book Antiqua" w:hAnsi="Book Antiqua"/>
        </w:rPr>
        <w:t xml:space="preserve"> a francouzského ministra zahraničí Roberta </w:t>
      </w:r>
      <w:proofErr w:type="spellStart"/>
      <w:r w:rsidRPr="00613300">
        <w:rPr>
          <w:rFonts w:ascii="Book Antiqua" w:hAnsi="Book Antiqua"/>
        </w:rPr>
        <w:t>Schumana</w:t>
      </w:r>
      <w:proofErr w:type="spellEnd"/>
      <w:r w:rsidRPr="00613300">
        <w:rPr>
          <w:rFonts w:ascii="Book Antiqua" w:hAnsi="Book Antiqua"/>
        </w:rPr>
        <w:t xml:space="preserve"> začaly tyto státy ekonomicky spolupracovat</w:t>
      </w:r>
    </w:p>
    <w:p w:rsidR="0069059E" w:rsidRPr="00613300" w:rsidRDefault="0069059E" w:rsidP="00613300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613300">
        <w:rPr>
          <w:rFonts w:ascii="Book Antiqua" w:hAnsi="Book Antiqua"/>
        </w:rPr>
        <w:t>1951: Evropské společenství uhlí a oceli (Francie, NSR, Itálie, Belgie, Lucembursko, Nizozemí), později se transformuje na Evropské hospodářské společenství (EHS) – odstraněny veškeré bariéry bránící volnému pohybu zboží mezi členskými státy</w:t>
      </w:r>
    </w:p>
    <w:p w:rsidR="0069059E" w:rsidRPr="00613300" w:rsidRDefault="0069059E" w:rsidP="00613300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613300">
        <w:rPr>
          <w:rFonts w:ascii="Book Antiqua" w:hAnsi="Book Antiqua"/>
        </w:rPr>
        <w:t>Později do EHS vstupují Velká Británie, Irsko a Dánsko (1973), po pádu autoritářských režimů i Španělsko, Portugalsko, Řecko (v 80. letech)</w:t>
      </w:r>
    </w:p>
    <w:p w:rsidR="0069059E" w:rsidRPr="00613300" w:rsidRDefault="0069059E" w:rsidP="00613300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613300">
        <w:rPr>
          <w:rFonts w:ascii="Book Antiqua" w:hAnsi="Book Antiqua"/>
        </w:rPr>
        <w:t>Zřízení společných fondů EHS, jejich prostřednictvím bohatší země přispívají chudším</w:t>
      </w:r>
    </w:p>
    <w:p w:rsidR="0069059E" w:rsidRPr="00613300" w:rsidRDefault="0069059E" w:rsidP="00613300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</w:rPr>
      </w:pPr>
      <w:r w:rsidRPr="00613300">
        <w:rPr>
          <w:rFonts w:ascii="Book Antiqua" w:hAnsi="Book Antiqua"/>
        </w:rPr>
        <w:t>1986: přijata vlajka EHS – modrá vlajka</w:t>
      </w:r>
      <w:r w:rsidR="00613300" w:rsidRPr="00613300">
        <w:rPr>
          <w:rFonts w:ascii="Book Antiqua" w:hAnsi="Book Antiqua"/>
        </w:rPr>
        <w:t xml:space="preserve"> s dvanácti zlatými hvězdami (dvanáctka je symbolem dokonalosti)</w:t>
      </w:r>
    </w:p>
    <w:sectPr w:rsidR="0069059E" w:rsidRPr="0061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D1A3A"/>
    <w:multiLevelType w:val="hybridMultilevel"/>
    <w:tmpl w:val="6E808456"/>
    <w:lvl w:ilvl="0" w:tplc="06A66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5D"/>
    <w:rsid w:val="00613300"/>
    <w:rsid w:val="0069059E"/>
    <w:rsid w:val="007E125D"/>
    <w:rsid w:val="00AC0A1D"/>
    <w:rsid w:val="00CC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F7143-6BF7-443F-9187-AC593786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E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zschrast-uzivatel4</dc:creator>
  <cp:keywords/>
  <dc:description/>
  <cp:lastModifiedBy>zschrast-uzivatel4</cp:lastModifiedBy>
  <cp:revision>1</cp:revision>
  <dcterms:created xsi:type="dcterms:W3CDTF">2018-05-21T06:45:00Z</dcterms:created>
  <dcterms:modified xsi:type="dcterms:W3CDTF">2018-05-21T07:13:00Z</dcterms:modified>
</cp:coreProperties>
</file>