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565" w:rsidRPr="00167299" w:rsidRDefault="004D04A9" w:rsidP="00167299">
      <w:pPr>
        <w:jc w:val="center"/>
        <w:rPr>
          <w:rFonts w:ascii="Book Antiqua" w:hAnsi="Book Antiqua"/>
          <w:b/>
          <w:sz w:val="32"/>
          <w:szCs w:val="32"/>
        </w:rPr>
      </w:pPr>
      <w:r w:rsidRPr="00167299">
        <w:rPr>
          <w:rFonts w:ascii="Book Antiqua" w:hAnsi="Book Antiqua"/>
          <w:b/>
          <w:sz w:val="32"/>
          <w:szCs w:val="32"/>
        </w:rPr>
        <w:t>První světová válka (Velká válka, Světová válka).</w:t>
      </w:r>
    </w:p>
    <w:p w:rsidR="004D04A9" w:rsidRPr="00167299" w:rsidRDefault="004D04A9" w:rsidP="00167299">
      <w:pPr>
        <w:jc w:val="center"/>
        <w:rPr>
          <w:rFonts w:ascii="Book Antiqua" w:hAnsi="Book Antiqua"/>
          <w:sz w:val="32"/>
          <w:szCs w:val="32"/>
        </w:rPr>
      </w:pPr>
      <w:r w:rsidRPr="00167299">
        <w:rPr>
          <w:rFonts w:ascii="Book Antiqua" w:hAnsi="Book Antiqua"/>
          <w:b/>
          <w:sz w:val="32"/>
          <w:szCs w:val="32"/>
        </w:rPr>
        <w:t>(1914 – 1918)</w:t>
      </w:r>
    </w:p>
    <w:p w:rsidR="004D04A9" w:rsidRPr="007C1A3F" w:rsidRDefault="004D04A9" w:rsidP="00055125">
      <w:pPr>
        <w:pStyle w:val="Odstavecseseznamem"/>
        <w:numPr>
          <w:ilvl w:val="0"/>
          <w:numId w:val="1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První celosvětový válečný konflikt, hlavní boje probíhaly v Evropě</w:t>
      </w:r>
    </w:p>
    <w:p w:rsidR="004D04A9" w:rsidRPr="007C1A3F" w:rsidRDefault="004D04A9" w:rsidP="00055125">
      <w:pPr>
        <w:pStyle w:val="Odstavecseseznamem"/>
        <w:numPr>
          <w:ilvl w:val="0"/>
          <w:numId w:val="1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Nová vojenská technika (tanky, bojové plyny, …)</w:t>
      </w:r>
    </w:p>
    <w:p w:rsidR="004D04A9" w:rsidRPr="007C1A3F" w:rsidRDefault="004D04A9" w:rsidP="00055125">
      <w:pPr>
        <w:pStyle w:val="Odstavecseseznamem"/>
        <w:numPr>
          <w:ilvl w:val="0"/>
          <w:numId w:val="1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Zahynulo asi 17 milionů lidí (vojáci + civilisti)</w:t>
      </w:r>
    </w:p>
    <w:p w:rsidR="004D04A9" w:rsidRPr="007C1A3F" w:rsidRDefault="004D04A9" w:rsidP="00055125">
      <w:pPr>
        <w:pStyle w:val="Odstavecseseznamem"/>
        <w:numPr>
          <w:ilvl w:val="0"/>
          <w:numId w:val="1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Ukončena Versailleským mírem, který některé státy (Německo, Maďarsko) považují za nespravedlivý a který je jednou ze záminek Druhé světové války</w:t>
      </w:r>
    </w:p>
    <w:p w:rsidR="004D04A9" w:rsidRPr="007C1A3F" w:rsidRDefault="00F13974" w:rsidP="00055125">
      <w:pPr>
        <w:jc w:val="both"/>
        <w:rPr>
          <w:rFonts w:ascii="Book Antiqua" w:hAnsi="Book Antiqua"/>
          <w:b/>
          <w:sz w:val="18"/>
          <w:szCs w:val="18"/>
        </w:rPr>
      </w:pPr>
      <w:r w:rsidRPr="007C1A3F">
        <w:rPr>
          <w:rFonts w:ascii="Book Antiqua" w:hAnsi="Book Antiqua"/>
          <w:b/>
          <w:sz w:val="18"/>
          <w:szCs w:val="18"/>
        </w:rPr>
        <w:t>Příčiny vypuknutí války:</w:t>
      </w:r>
    </w:p>
    <w:p w:rsidR="00F13974" w:rsidRPr="007C1A3F" w:rsidRDefault="00F13974" w:rsidP="00055125">
      <w:pPr>
        <w:pStyle w:val="Odstavecseseznamem"/>
        <w:numPr>
          <w:ilvl w:val="0"/>
          <w:numId w:val="2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Nacionalismus</w:t>
      </w:r>
    </w:p>
    <w:p w:rsidR="00F13974" w:rsidRPr="007C1A3F" w:rsidRDefault="00F13974" w:rsidP="00055125">
      <w:pPr>
        <w:pStyle w:val="Odstavecseseznamem"/>
        <w:numPr>
          <w:ilvl w:val="0"/>
          <w:numId w:val="2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Územní spory v Evropě mezi mnoha státy</w:t>
      </w:r>
    </w:p>
    <w:p w:rsidR="00F13974" w:rsidRPr="007C1A3F" w:rsidRDefault="00F13974" w:rsidP="00055125">
      <w:pPr>
        <w:pStyle w:val="Odstavecseseznamem"/>
        <w:numPr>
          <w:ilvl w:val="0"/>
          <w:numId w:val="2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Spory o kolonie – Velká Británie a Francie se nehodlají uskromnit a přenechat nějaká koloniální území Německu (vzniklo až v 19. století, kolonie proto téměř nevlastní), které po nich touží</w:t>
      </w:r>
    </w:p>
    <w:p w:rsidR="00F13974" w:rsidRPr="007C1A3F" w:rsidRDefault="00F13974" w:rsidP="00055125">
      <w:p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Evropské velmoci se na konci 19. století rozdělily do dvou obranných bloků (státy v nich si měly přijít vzájemně na pomoc, pokud by byly ohroženy zájmy některého z nich):</w:t>
      </w:r>
    </w:p>
    <w:p w:rsidR="00F13974" w:rsidRPr="007C1A3F" w:rsidRDefault="00F13974" w:rsidP="00055125">
      <w:pPr>
        <w:pStyle w:val="Odstavecseseznamem"/>
        <w:numPr>
          <w:ilvl w:val="0"/>
          <w:numId w:val="3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b/>
          <w:sz w:val="18"/>
          <w:szCs w:val="18"/>
        </w:rPr>
        <w:t>Trojspolek (Ústřední mocnosti):</w:t>
      </w:r>
      <w:r w:rsidRPr="007C1A3F">
        <w:rPr>
          <w:rFonts w:ascii="Book Antiqua" w:hAnsi="Book Antiqua"/>
          <w:sz w:val="18"/>
          <w:szCs w:val="18"/>
        </w:rPr>
        <w:t xml:space="preserve"> Německo, Rakousko – Uhersko a Itálie</w:t>
      </w:r>
    </w:p>
    <w:p w:rsidR="00F13974" w:rsidRPr="007C1A3F" w:rsidRDefault="00F13974" w:rsidP="00055125">
      <w:pPr>
        <w:pStyle w:val="Odstavecseseznamem"/>
        <w:numPr>
          <w:ilvl w:val="0"/>
          <w:numId w:val="3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b/>
          <w:sz w:val="18"/>
          <w:szCs w:val="18"/>
        </w:rPr>
        <w:t>Trojdohoda (Dohoda):</w:t>
      </w:r>
      <w:r w:rsidRPr="007C1A3F">
        <w:rPr>
          <w:rFonts w:ascii="Book Antiqua" w:hAnsi="Book Antiqua"/>
          <w:sz w:val="18"/>
          <w:szCs w:val="18"/>
        </w:rPr>
        <w:t xml:space="preserve"> Velká Británie, Francie, Rusko</w:t>
      </w:r>
    </w:p>
    <w:p w:rsidR="00F13974" w:rsidRPr="007C1A3F" w:rsidRDefault="00F13974" w:rsidP="00055125">
      <w:p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Velmoci navíc mají v Evropě další státy, které „ochraňují“ a ovlivňují jejich politiku – viz např. Balkánské války – Rusko chrání Srby, Němci a Rakušané podporují Bulhary…</w:t>
      </w:r>
    </w:p>
    <w:p w:rsidR="00F13974" w:rsidRPr="007C1A3F" w:rsidRDefault="00F13974" w:rsidP="00055125">
      <w:p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Některé země (Německo, Bulharsko, …) mají pocit, že válka je nevyhnutelná a je dobře válčit teď, než se nepřátelské státy na válku lépe připraví.</w:t>
      </w:r>
    </w:p>
    <w:p w:rsidR="00F13974" w:rsidRPr="007C1A3F" w:rsidRDefault="00F13974" w:rsidP="00055125">
      <w:pPr>
        <w:jc w:val="both"/>
        <w:rPr>
          <w:rFonts w:ascii="Book Antiqua" w:hAnsi="Book Antiqua"/>
          <w:b/>
          <w:sz w:val="18"/>
          <w:szCs w:val="18"/>
        </w:rPr>
      </w:pPr>
      <w:r w:rsidRPr="007C1A3F">
        <w:rPr>
          <w:rFonts w:ascii="Book Antiqua" w:hAnsi="Book Antiqua"/>
          <w:b/>
          <w:sz w:val="18"/>
          <w:szCs w:val="18"/>
        </w:rPr>
        <w:t>Situace v Rakousko – Uhersku před 1. světovou válkou:</w:t>
      </w:r>
    </w:p>
    <w:p w:rsidR="00F13974" w:rsidRPr="007C1A3F" w:rsidRDefault="00F13974" w:rsidP="00055125">
      <w:pPr>
        <w:pStyle w:val="Odstavecseseznamem"/>
        <w:numPr>
          <w:ilvl w:val="0"/>
          <w:numId w:val="1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Konfederace Rakouska (Předlitavsko) a Uherska (Zalitavsko)</w:t>
      </w:r>
      <w:r w:rsidR="0000253F" w:rsidRPr="007C1A3F">
        <w:rPr>
          <w:rFonts w:ascii="Book Antiqua" w:hAnsi="Book Antiqua"/>
          <w:sz w:val="18"/>
          <w:szCs w:val="18"/>
        </w:rPr>
        <w:t>, konstituční monarchie</w:t>
      </w:r>
    </w:p>
    <w:p w:rsidR="0000253F" w:rsidRPr="007C1A3F" w:rsidRDefault="0000253F" w:rsidP="00055125">
      <w:pPr>
        <w:pStyle w:val="Odstavecseseznamem"/>
        <w:numPr>
          <w:ilvl w:val="0"/>
          <w:numId w:val="1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 xml:space="preserve">Roku 1914 panuje císař František Josef I. (je mu 84 let), následníkem trůnu je jeho prasynovec František Ferdinand d´Este (císařův syn Rudolf spáchal sebevraždu na zámečku </w:t>
      </w:r>
      <w:proofErr w:type="spellStart"/>
      <w:r w:rsidRPr="007C1A3F">
        <w:rPr>
          <w:rFonts w:ascii="Book Antiqua" w:hAnsi="Book Antiqua"/>
          <w:sz w:val="18"/>
          <w:szCs w:val="18"/>
        </w:rPr>
        <w:t>Mayerling</w:t>
      </w:r>
      <w:proofErr w:type="spellEnd"/>
      <w:r w:rsidRPr="007C1A3F">
        <w:rPr>
          <w:rFonts w:ascii="Book Antiqua" w:hAnsi="Book Antiqua"/>
          <w:sz w:val="18"/>
          <w:szCs w:val="18"/>
        </w:rPr>
        <w:t xml:space="preserve"> roku 1889)</w:t>
      </w:r>
    </w:p>
    <w:p w:rsidR="0000253F" w:rsidRPr="007C1A3F" w:rsidRDefault="0000253F" w:rsidP="00055125">
      <w:pPr>
        <w:pStyle w:val="Odstavecseseznamem"/>
        <w:numPr>
          <w:ilvl w:val="0"/>
          <w:numId w:val="1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František Ferdinand si prosadil sňatek s Žofií Chotkovou, která nebyla z dostatečně urozeného rodu (mesaliance), jejich děti neměly nárok na trůn</w:t>
      </w:r>
    </w:p>
    <w:p w:rsidR="00055125" w:rsidRPr="007C1A3F" w:rsidRDefault="00055125" w:rsidP="00055125">
      <w:pPr>
        <w:pStyle w:val="Odstavecseseznamem"/>
        <w:numPr>
          <w:ilvl w:val="0"/>
          <w:numId w:val="1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Životní úroveň obyvatel ve srovnání se západní Evropou nižší, zároveň ohromné rozdíly (vyspělé Čechy nebo Rakousy vs. zaostalá Halič nebo Bukovina)</w:t>
      </w:r>
    </w:p>
    <w:p w:rsidR="00055125" w:rsidRPr="007C1A3F" w:rsidRDefault="00055125" w:rsidP="00055125">
      <w:pPr>
        <w:pStyle w:val="Odstavecseseznamem"/>
        <w:numPr>
          <w:ilvl w:val="0"/>
          <w:numId w:val="1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Rozdíly v úrovni průmyslu, elektrifikace, vzdělanosti, zdraví obyvatel…</w:t>
      </w:r>
    </w:p>
    <w:p w:rsidR="00055125" w:rsidRPr="007C1A3F" w:rsidRDefault="00055125" w:rsidP="00055125">
      <w:pPr>
        <w:pStyle w:val="Odstavecseseznamem"/>
        <w:numPr>
          <w:ilvl w:val="0"/>
          <w:numId w:val="1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Většina obyvatel se aspoň z části cítí být „Rakušany“ (až na Maďary), a to včetně Čechů (rádi by autonomii, ale nepožadují nezávislost</w:t>
      </w:r>
    </w:p>
    <w:p w:rsidR="00055125" w:rsidRPr="007C1A3F" w:rsidRDefault="00055125" w:rsidP="00055125">
      <w:pPr>
        <w:pStyle w:val="Odstavecseseznamem"/>
        <w:numPr>
          <w:ilvl w:val="0"/>
          <w:numId w:val="1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rFonts w:ascii="Book Antiqua" w:hAnsi="Book Antiqua"/>
          <w:sz w:val="18"/>
          <w:szCs w:val="18"/>
        </w:rPr>
        <w:t>Velká popularita císaře Františka Josefa I., ale nadává se na vládu a poslance</w:t>
      </w:r>
    </w:p>
    <w:p w:rsidR="00055125" w:rsidRPr="007C1A3F" w:rsidRDefault="005326FA" w:rsidP="00055125">
      <w:pPr>
        <w:pStyle w:val="Odstavecseseznamem"/>
        <w:numPr>
          <w:ilvl w:val="0"/>
          <w:numId w:val="1"/>
        </w:numPr>
        <w:jc w:val="both"/>
        <w:rPr>
          <w:rFonts w:ascii="Book Antiqua" w:hAnsi="Book Antiqua"/>
          <w:sz w:val="18"/>
          <w:szCs w:val="18"/>
        </w:rPr>
      </w:pPr>
      <w:r w:rsidRPr="007C1A3F">
        <w:rPr>
          <w:noProof/>
          <w:sz w:val="18"/>
          <w:szCs w:val="1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259080</wp:posOffset>
            </wp:positionV>
            <wp:extent cx="3790950" cy="1783715"/>
            <wp:effectExtent l="0" t="0" r="0" b="6985"/>
            <wp:wrapTight wrapText="bothSides">
              <wp:wrapPolygon edited="0">
                <wp:start x="0" y="0"/>
                <wp:lineTo x="0" y="21454"/>
                <wp:lineTo x="21491" y="21454"/>
                <wp:lineTo x="21491" y="0"/>
                <wp:lineTo x="0" y="0"/>
              </wp:wrapPolygon>
            </wp:wrapTight>
            <wp:docPr id="2" name="Obrázek 2" descr="Výsledek obrázku pro františek ferdinand d'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františek ferdinand d'es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1A3F">
        <w:rPr>
          <w:noProof/>
          <w:sz w:val="18"/>
          <w:szCs w:val="1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-659130</wp:posOffset>
            </wp:positionH>
            <wp:positionV relativeFrom="paragraph">
              <wp:posOffset>255905</wp:posOffset>
            </wp:positionV>
            <wp:extent cx="3209925" cy="1805305"/>
            <wp:effectExtent l="0" t="0" r="9525" b="4445"/>
            <wp:wrapTight wrapText="bothSides">
              <wp:wrapPolygon edited="0">
                <wp:start x="0" y="0"/>
                <wp:lineTo x="0" y="21425"/>
                <wp:lineTo x="21536" y="21425"/>
                <wp:lineTo x="21536" y="0"/>
                <wp:lineTo x="0" y="0"/>
              </wp:wrapPolygon>
            </wp:wrapTight>
            <wp:docPr id="1" name="Obrázek 1" descr="Výsledek obrázku pro franz jos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franz jose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125" w:rsidRPr="007C1A3F">
        <w:rPr>
          <w:rFonts w:ascii="Book Antiqua" w:hAnsi="Book Antiqua"/>
          <w:sz w:val="18"/>
          <w:szCs w:val="18"/>
        </w:rPr>
        <w:t>Vojensky na poměrně nízké úrovni (v porovnání s Německem, Francií, Británií, …)</w:t>
      </w:r>
    </w:p>
    <w:p w:rsidR="0000253F" w:rsidRPr="007C1A3F" w:rsidRDefault="0000253F" w:rsidP="00055125">
      <w:pPr>
        <w:jc w:val="both"/>
        <w:rPr>
          <w:rFonts w:ascii="Book Antiqua" w:hAnsi="Book Antiqua"/>
          <w:sz w:val="18"/>
          <w:szCs w:val="18"/>
        </w:rPr>
      </w:pPr>
    </w:p>
    <w:p w:rsidR="00F13974" w:rsidRDefault="005326FA" w:rsidP="00055125">
      <w:pPr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                         Císař František Josef I. a následník trůnu František Ferdinand s manželkou Žofií Chotkovou</w:t>
      </w:r>
    </w:p>
    <w:p w:rsidR="005326FA" w:rsidRDefault="005326FA" w:rsidP="00055125">
      <w:pPr>
        <w:jc w:val="both"/>
        <w:rPr>
          <w:rFonts w:ascii="Book Antiqua" w:hAnsi="Book Antiqua"/>
          <w:sz w:val="18"/>
          <w:szCs w:val="18"/>
        </w:rPr>
      </w:pPr>
    </w:p>
    <w:p w:rsidR="005326FA" w:rsidRPr="005326FA" w:rsidRDefault="005326FA" w:rsidP="00055125">
      <w:pPr>
        <w:jc w:val="both"/>
        <w:rPr>
          <w:rFonts w:ascii="Book Antiqua" w:hAnsi="Book Antiqua"/>
          <w:b/>
          <w:sz w:val="18"/>
          <w:szCs w:val="18"/>
        </w:rPr>
      </w:pPr>
      <w:r w:rsidRPr="005326FA">
        <w:rPr>
          <w:b/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328930</wp:posOffset>
            </wp:positionV>
            <wp:extent cx="6917854" cy="5724525"/>
            <wp:effectExtent l="0" t="0" r="0" b="0"/>
            <wp:wrapTight wrapText="bothSides">
              <wp:wrapPolygon edited="0">
                <wp:start x="0" y="0"/>
                <wp:lineTo x="0" y="21492"/>
                <wp:lineTo x="21533" y="21492"/>
                <wp:lineTo x="21533" y="0"/>
                <wp:lineTo x="0" y="0"/>
              </wp:wrapPolygon>
            </wp:wrapTight>
            <wp:docPr id="3" name="Obrázek 3" descr="http://www.jik860.estranky.cz/file/539/map-20of-20austria-hungary-2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ik860.estranky.cz/file/539/map-20of-20austria-hungary-2019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854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26FA">
        <w:rPr>
          <w:rFonts w:ascii="Book Antiqua" w:hAnsi="Book Antiqua"/>
          <w:b/>
          <w:sz w:val="18"/>
          <w:szCs w:val="18"/>
        </w:rPr>
        <w:t>Rakousko – Uhersko před První světovou válkou:</w:t>
      </w:r>
    </w:p>
    <w:p w:rsidR="00BE5CBC" w:rsidRDefault="005326FA" w:rsidP="00055125">
      <w:pPr>
        <w:jc w:val="both"/>
        <w:rPr>
          <w:rFonts w:ascii="Book Antiqua" w:hAnsi="Book Antiqua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6141720</wp:posOffset>
            </wp:positionV>
            <wp:extent cx="306705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466" y="21332"/>
                <wp:lineTo x="21466" y="0"/>
                <wp:lineTo x="0" y="0"/>
              </wp:wrapPolygon>
            </wp:wrapTight>
            <wp:docPr id="5" name="Obrázek 5" descr="Výsledek obrázku pro rakousko uhersko státní symb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rakousko uhersko státní symbol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-394970</wp:posOffset>
            </wp:positionH>
            <wp:positionV relativeFrom="paragraph">
              <wp:posOffset>5875020</wp:posOffset>
            </wp:positionV>
            <wp:extent cx="3136900" cy="2352675"/>
            <wp:effectExtent l="0" t="0" r="6350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4" name="Obrázek 4" descr="Výsledek obrázku pro rakousko uher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rakousko uhersk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BE5CBC" w:rsidRPr="005B6752" w:rsidRDefault="00BE5CBC" w:rsidP="00055125">
      <w:pPr>
        <w:jc w:val="both"/>
        <w:rPr>
          <w:rFonts w:ascii="Book Antiqua" w:hAnsi="Book Antiqua"/>
          <w:b/>
          <w:sz w:val="18"/>
          <w:szCs w:val="18"/>
        </w:rPr>
      </w:pPr>
      <w:r w:rsidRPr="005B6752">
        <w:rPr>
          <w:rFonts w:ascii="Book Antiqua" w:hAnsi="Book Antiqua"/>
          <w:b/>
          <w:sz w:val="18"/>
          <w:szCs w:val="18"/>
        </w:rPr>
        <w:t>Atentát na Františka Ferdinanda d´Este</w:t>
      </w:r>
    </w:p>
    <w:p w:rsidR="00BE5CBC" w:rsidRDefault="00BE5CBC" w:rsidP="00055125">
      <w:pPr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28. června 1914, Sarajevo, hlavní město Bosny a Hercegoviny</w:t>
      </w:r>
    </w:p>
    <w:p w:rsidR="00BE5CBC" w:rsidRDefault="00BE5CBC" w:rsidP="00055125">
      <w:pPr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Bosna a Hercegovina byla od roku 1878 pod rakousko-uherskou vojenskou správou, předtím byla součástí Osmanské říše (Turecka)</w:t>
      </w:r>
    </w:p>
    <w:p w:rsidR="00BE5CBC" w:rsidRDefault="00BE5CBC" w:rsidP="00055125">
      <w:pPr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V Bosně žila směsice národností, včetně významného počtu Srbů. Srbsko podporovalo </w:t>
      </w:r>
      <w:proofErr w:type="spellStart"/>
      <w:r>
        <w:rPr>
          <w:rFonts w:ascii="Book Antiqua" w:hAnsi="Book Antiqua"/>
          <w:sz w:val="18"/>
          <w:szCs w:val="18"/>
        </w:rPr>
        <w:t>srbskobosenské</w:t>
      </w:r>
      <w:proofErr w:type="spellEnd"/>
      <w:r>
        <w:rPr>
          <w:rFonts w:ascii="Book Antiqua" w:hAnsi="Book Antiqua"/>
          <w:sz w:val="18"/>
          <w:szCs w:val="18"/>
        </w:rPr>
        <w:t xml:space="preserve"> nacionalisty – separatisty- v jejich snahách o připojení Bosny a Hercegoviny k Srbsku</w:t>
      </w:r>
    </w:p>
    <w:p w:rsidR="00BE5CBC" w:rsidRDefault="00BE5CBC" w:rsidP="00055125">
      <w:pPr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lastRenderedPageBreak/>
        <w:t>Černá ruka (Sjednocení nebo smrt) – srbská tajná organizace usilující o sjednocení všech jižních Slovanů pod vládou Srbů, neštítí se žádných metod včetně diversí a atentátů.</w:t>
      </w:r>
    </w:p>
    <w:p w:rsidR="00BE5CBC" w:rsidRDefault="00BE5CBC" w:rsidP="00055125">
      <w:pPr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Oskar </w:t>
      </w:r>
      <w:proofErr w:type="spellStart"/>
      <w:r>
        <w:rPr>
          <w:rFonts w:ascii="Book Antiqua" w:hAnsi="Book Antiqua"/>
          <w:sz w:val="18"/>
          <w:szCs w:val="18"/>
        </w:rPr>
        <w:t>Potiorek</w:t>
      </w:r>
      <w:proofErr w:type="spellEnd"/>
      <w:r>
        <w:rPr>
          <w:rFonts w:ascii="Book Antiqua" w:hAnsi="Book Antiqua"/>
          <w:sz w:val="18"/>
          <w:szCs w:val="18"/>
        </w:rPr>
        <w:t xml:space="preserve"> – guvernér Bosny a Hercegoviny, první uvažovaný cíl atentátu. </w:t>
      </w:r>
      <w:r w:rsidR="00794D88">
        <w:rPr>
          <w:rFonts w:ascii="Book Antiqua" w:hAnsi="Book Antiqua"/>
          <w:sz w:val="18"/>
          <w:szCs w:val="18"/>
        </w:rPr>
        <w:t>Ovšem do Sarajeva se na inspekci armády a vojenské cvičení chystá následník trůnu František Ferdinand, Černá ruka cíl přehodnotila – obětí se stane právě následník.</w:t>
      </w:r>
    </w:p>
    <w:p w:rsidR="00794D88" w:rsidRDefault="00794D88" w:rsidP="00055125">
      <w:pPr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V Sarajevu čekají atentátníci, z nichž nejdůležitější </w:t>
      </w:r>
      <w:proofErr w:type="gramStart"/>
      <w:r>
        <w:rPr>
          <w:rFonts w:ascii="Book Antiqua" w:hAnsi="Book Antiqua"/>
          <w:sz w:val="18"/>
          <w:szCs w:val="18"/>
        </w:rPr>
        <w:t>jsou Danilo</w:t>
      </w:r>
      <w:proofErr w:type="gramEnd"/>
      <w:r>
        <w:rPr>
          <w:rFonts w:ascii="Book Antiqua" w:hAnsi="Book Antiqua"/>
          <w:sz w:val="18"/>
          <w:szCs w:val="18"/>
        </w:rPr>
        <w:t xml:space="preserve"> </w:t>
      </w:r>
      <w:proofErr w:type="spellStart"/>
      <w:r>
        <w:rPr>
          <w:rFonts w:ascii="Book Antiqua" w:hAnsi="Book Antiqua"/>
          <w:sz w:val="18"/>
          <w:szCs w:val="18"/>
        </w:rPr>
        <w:t>Ilić</w:t>
      </w:r>
      <w:proofErr w:type="spellEnd"/>
      <w:r>
        <w:rPr>
          <w:rFonts w:ascii="Book Antiqua" w:hAnsi="Book Antiqua"/>
          <w:sz w:val="18"/>
          <w:szCs w:val="18"/>
        </w:rPr>
        <w:t xml:space="preserve"> (organizátor akce), </w:t>
      </w:r>
      <w:proofErr w:type="spellStart"/>
      <w:r>
        <w:rPr>
          <w:rFonts w:ascii="Book Antiqua" w:hAnsi="Book Antiqua"/>
          <w:sz w:val="18"/>
          <w:szCs w:val="18"/>
        </w:rPr>
        <w:t>Nedejlko</w:t>
      </w:r>
      <w:proofErr w:type="spellEnd"/>
      <w:r>
        <w:rPr>
          <w:rFonts w:ascii="Book Antiqua" w:hAnsi="Book Antiqua"/>
          <w:sz w:val="18"/>
          <w:szCs w:val="18"/>
        </w:rPr>
        <w:t xml:space="preserve"> </w:t>
      </w:r>
      <w:proofErr w:type="spellStart"/>
      <w:r>
        <w:rPr>
          <w:rFonts w:ascii="Book Antiqua" w:hAnsi="Book Antiqua"/>
          <w:sz w:val="18"/>
          <w:szCs w:val="18"/>
        </w:rPr>
        <w:t>Čabrinović</w:t>
      </w:r>
      <w:proofErr w:type="spellEnd"/>
      <w:r>
        <w:rPr>
          <w:rFonts w:ascii="Book Antiqua" w:hAnsi="Book Antiqua"/>
          <w:sz w:val="18"/>
          <w:szCs w:val="18"/>
        </w:rPr>
        <w:t xml:space="preserve"> (zaútočí bombou) a </w:t>
      </w:r>
      <w:proofErr w:type="spellStart"/>
      <w:r>
        <w:rPr>
          <w:rFonts w:ascii="Book Antiqua" w:hAnsi="Book Antiqua"/>
          <w:sz w:val="18"/>
          <w:szCs w:val="18"/>
        </w:rPr>
        <w:t>Gavrilo</w:t>
      </w:r>
      <w:proofErr w:type="spellEnd"/>
      <w:r>
        <w:rPr>
          <w:rFonts w:ascii="Book Antiqua" w:hAnsi="Book Antiqua"/>
          <w:sz w:val="18"/>
          <w:szCs w:val="18"/>
        </w:rPr>
        <w:t xml:space="preserve"> Princip (zaútočí pistolí).</w:t>
      </w:r>
    </w:p>
    <w:p w:rsidR="00794D88" w:rsidRDefault="00794D88" w:rsidP="00055125">
      <w:pPr>
        <w:jc w:val="both"/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</w:pPr>
      <w:r>
        <w:rPr>
          <w:rFonts w:ascii="Book Antiqua" w:hAnsi="Book Antiqua"/>
          <w:sz w:val="18"/>
          <w:szCs w:val="18"/>
        </w:rPr>
        <w:t xml:space="preserve">František Ferdinand s manželkou Žofií, guvernérem </w:t>
      </w:r>
      <w:proofErr w:type="spellStart"/>
      <w:r>
        <w:rPr>
          <w:rFonts w:ascii="Book Antiqua" w:hAnsi="Book Antiqua"/>
          <w:sz w:val="18"/>
          <w:szCs w:val="18"/>
        </w:rPr>
        <w:t>Potiorkem</w:t>
      </w:r>
      <w:proofErr w:type="spellEnd"/>
      <w:r>
        <w:rPr>
          <w:rFonts w:ascii="Book Antiqua" w:hAnsi="Book Antiqua"/>
          <w:sz w:val="18"/>
          <w:szCs w:val="18"/>
        </w:rPr>
        <w:t xml:space="preserve"> a dalšími osobami míří auty z nádraží na radnici. </w:t>
      </w:r>
      <w:proofErr w:type="spellStart"/>
      <w:r>
        <w:rPr>
          <w:rFonts w:ascii="Book Antiqua" w:hAnsi="Book Antiqua"/>
          <w:sz w:val="18"/>
          <w:szCs w:val="18"/>
        </w:rPr>
        <w:t>Čabrinović</w:t>
      </w:r>
      <w:proofErr w:type="spellEnd"/>
      <w:r>
        <w:rPr>
          <w:rFonts w:ascii="Book Antiqua" w:hAnsi="Book Antiqua"/>
          <w:sz w:val="18"/>
          <w:szCs w:val="18"/>
        </w:rPr>
        <w:t xml:space="preserve"> hází na jejich auto bombu, ta sklouzne a vybouchne až pod dalším autem. Františkovo auto dorazí na radnici, kde následník osloví primátora: </w:t>
      </w:r>
      <w:r w:rsidRPr="00794D88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„Pane primátore, přijel jsem na návštěvu a přivítán jsem byl bombami. To překračuje všechny meze!“</w:t>
      </w:r>
      <w:r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 Žofie ho uklidňuje.</w:t>
      </w:r>
    </w:p>
    <w:p w:rsidR="00794D88" w:rsidRDefault="00B21810" w:rsidP="00055125">
      <w:pPr>
        <w:jc w:val="both"/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</w:pPr>
      <w:r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Po návštěvě radnice se František Ferdinand rozhodl, že navštíví v nemocnici zraněné z bombového útoku. Kolona aut chybně odbočí a řidič udělá osudnou chybu – nepokračuje dál, ale začne couvat. Kolem se totiž náhodou potlouká </w:t>
      </w:r>
      <w:proofErr w:type="spellStart"/>
      <w:r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Gavrilo</w:t>
      </w:r>
      <w:proofErr w:type="spellEnd"/>
      <w:r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 Princip, přiskočí k autu a na následníka a jeho doprovod vystřelí dvě rány – zasáhl Františka a jeho </w:t>
      </w:r>
      <w:proofErr w:type="spellStart"/>
      <w:r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maželku</w:t>
      </w:r>
      <w:proofErr w:type="spellEnd"/>
      <w:r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. Těžce raněný František Ferdinand má starost o manželku: </w:t>
      </w:r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„</w:t>
      </w:r>
      <w:proofErr w:type="spellStart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Sopherl</w:t>
      </w:r>
      <w:proofErr w:type="spellEnd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! </w:t>
      </w:r>
      <w:proofErr w:type="spellStart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Sopherl</w:t>
      </w:r>
      <w:proofErr w:type="spellEnd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! </w:t>
      </w:r>
      <w:proofErr w:type="spellStart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Sterbe</w:t>
      </w:r>
      <w:proofErr w:type="spellEnd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nicht</w:t>
      </w:r>
      <w:proofErr w:type="spellEnd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! </w:t>
      </w:r>
      <w:proofErr w:type="spellStart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Bleibe</w:t>
      </w:r>
      <w:proofErr w:type="spellEnd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am</w:t>
      </w:r>
      <w:proofErr w:type="spellEnd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Leben</w:t>
      </w:r>
      <w:proofErr w:type="spellEnd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für</w:t>
      </w:r>
      <w:proofErr w:type="spellEnd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unsere</w:t>
      </w:r>
      <w:proofErr w:type="spellEnd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Kinder</w:t>
      </w:r>
      <w:proofErr w:type="spellEnd"/>
      <w:r w:rsidRPr="00B21810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!“ (česky „Žofinko, Žofinko, neumírej! Zůstaň na živu pro naše děti!“)</w:t>
      </w:r>
      <w:r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. František zemřel ještě v autě, Žofie o pár minut později.</w:t>
      </w:r>
      <w:r w:rsidR="005B6752" w:rsidRPr="005B6752">
        <w:t xml:space="preserve"> </w:t>
      </w:r>
    </w:p>
    <w:p w:rsidR="00B21810" w:rsidRDefault="005B6752" w:rsidP="00055125">
      <w:pPr>
        <w:jc w:val="both"/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285750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56" y="21460"/>
                <wp:lineTo x="21456" y="0"/>
                <wp:lineTo x="0" y="0"/>
              </wp:wrapPolygon>
            </wp:wrapTight>
            <wp:docPr id="6" name="Obrázek 6" descr="Výsledek obrázku pro atentát v saraje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atentát v sarajev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7B3E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Atentátníci byli pochytáni a odsouzeni dílem k smrti, dílem k dlouholetému vězení. </w:t>
      </w:r>
      <w:proofErr w:type="spellStart"/>
      <w:r w:rsidR="00187B3E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>Gavrilo</w:t>
      </w:r>
      <w:proofErr w:type="spellEnd"/>
      <w:r w:rsidR="00187B3E">
        <w:rPr>
          <w:rFonts w:ascii="Book Antiqua" w:hAnsi="Book Antiqua" w:cs="Arial"/>
          <w:color w:val="222222"/>
          <w:sz w:val="18"/>
          <w:szCs w:val="18"/>
          <w:shd w:val="clear" w:color="auto" w:fill="FFFFFF"/>
        </w:rPr>
        <w:t xml:space="preserve"> Princip byl odsouzen na 20 let, ale nepřežil válku – zemřel roku 1918 ve vězení v Terezíně na tuberkulózu.</w:t>
      </w:r>
    </w:p>
    <w:p w:rsidR="00187B3E" w:rsidRPr="005B6752" w:rsidRDefault="00187B3E" w:rsidP="00055125">
      <w:pPr>
        <w:jc w:val="both"/>
        <w:rPr>
          <w:rFonts w:ascii="Book Antiqua" w:hAnsi="Book Antiqua"/>
          <w:b/>
          <w:sz w:val="18"/>
          <w:szCs w:val="18"/>
        </w:rPr>
      </w:pPr>
      <w:r w:rsidRPr="005B6752">
        <w:rPr>
          <w:rFonts w:ascii="Book Antiqua" w:hAnsi="Book Antiqua"/>
          <w:b/>
          <w:sz w:val="18"/>
          <w:szCs w:val="18"/>
        </w:rPr>
        <w:t>Následky atentátu:</w:t>
      </w:r>
    </w:p>
    <w:p w:rsidR="00187B3E" w:rsidRDefault="00187B3E" w:rsidP="00055125">
      <w:pPr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Evropa je v šoku, Rakousko-Uhersko a Německo vyzývají Srbsko, aby důkladně vyšetřilo okolnosti atentátu, Srbové prohlásí, že vše, co se stalo, se </w:t>
      </w:r>
      <w:r w:rsidR="005B6752">
        <w:rPr>
          <w:rFonts w:ascii="Book Antiqua" w:hAnsi="Book Antiqua"/>
          <w:sz w:val="18"/>
          <w:szCs w:val="18"/>
        </w:rPr>
        <w:t>Srbska netýká, protože Srbsko za nic nemůže a atentátníkům nepomáhalo (prokazatelná lež).</w:t>
      </w:r>
    </w:p>
    <w:p w:rsidR="005B6752" w:rsidRDefault="005B6752" w:rsidP="00055125">
      <w:pPr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Rakousko-Uhersko zasílá Srbům ultimátum s nesplnitelnými požadavky (Srbsko by se jejich přijetím prakticky vzdalo státní suverenity). Po jeho nesplnění vyhlašuje Rakousko-Uhersku válku Srbsku dne </w:t>
      </w:r>
      <w:r w:rsidRPr="005B6752">
        <w:rPr>
          <w:rFonts w:ascii="Book Antiqua" w:hAnsi="Book Antiqua"/>
          <w:b/>
          <w:sz w:val="18"/>
          <w:szCs w:val="18"/>
        </w:rPr>
        <w:t>28. července</w:t>
      </w:r>
      <w:r>
        <w:rPr>
          <w:rFonts w:ascii="Book Antiqua" w:hAnsi="Book Antiqua"/>
          <w:sz w:val="18"/>
          <w:szCs w:val="18"/>
        </w:rPr>
        <w:t>.</w:t>
      </w:r>
    </w:p>
    <w:p w:rsidR="005B6752" w:rsidRDefault="005B6752" w:rsidP="00055125">
      <w:pPr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Srbský spojenec Rusko mobilizuje, Německo vyhlašuje válku ruskému spojenci Francii a obsazuje neutrální Lucembursko a Belgii, tento čin vyprovokuje Velkou Británii k vyhlášení války Německu…</w:t>
      </w:r>
    </w:p>
    <w:p w:rsidR="005B6752" w:rsidRPr="005B6752" w:rsidRDefault="005B6752" w:rsidP="00055125">
      <w:pPr>
        <w:jc w:val="both"/>
        <w:rPr>
          <w:rFonts w:ascii="Book Antiqua" w:hAnsi="Book Antiqua"/>
          <w:b/>
          <w:sz w:val="18"/>
          <w:szCs w:val="18"/>
        </w:rPr>
      </w:pPr>
      <w:r w:rsidRPr="005B6752">
        <w:rPr>
          <w:rFonts w:ascii="Book Antiqua" w:hAnsi="Book Antiqua"/>
          <w:b/>
          <w:sz w:val="18"/>
          <w:szCs w:val="18"/>
        </w:rPr>
        <w:t>První světová válka začala.</w:t>
      </w:r>
    </w:p>
    <w:sectPr w:rsidR="005B6752" w:rsidRPr="005B67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0569A1"/>
    <w:multiLevelType w:val="hybridMultilevel"/>
    <w:tmpl w:val="3A0433EE"/>
    <w:lvl w:ilvl="0" w:tplc="5DDA00D4">
      <w:start w:val="19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4D2FAA"/>
    <w:multiLevelType w:val="hybridMultilevel"/>
    <w:tmpl w:val="0D1E7C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0549BB"/>
    <w:multiLevelType w:val="hybridMultilevel"/>
    <w:tmpl w:val="41769A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A9"/>
    <w:rsid w:val="0000253F"/>
    <w:rsid w:val="00055125"/>
    <w:rsid w:val="00167299"/>
    <w:rsid w:val="00187B3E"/>
    <w:rsid w:val="00256FCA"/>
    <w:rsid w:val="004D04A9"/>
    <w:rsid w:val="005326FA"/>
    <w:rsid w:val="005B6752"/>
    <w:rsid w:val="00794D88"/>
    <w:rsid w:val="007C1A3F"/>
    <w:rsid w:val="00AC0A1D"/>
    <w:rsid w:val="00B21810"/>
    <w:rsid w:val="00BE5CBC"/>
    <w:rsid w:val="00CC3E61"/>
    <w:rsid w:val="00F1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D0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4D0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D0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4D0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762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zschrast-uzivatel4</dc:creator>
  <cp:keywords/>
  <dc:description/>
  <cp:lastModifiedBy>Uživatel_10</cp:lastModifiedBy>
  <cp:revision>7</cp:revision>
  <cp:lastPrinted>2020-05-20T06:02:00Z</cp:lastPrinted>
  <dcterms:created xsi:type="dcterms:W3CDTF">2017-09-07T10:34:00Z</dcterms:created>
  <dcterms:modified xsi:type="dcterms:W3CDTF">2020-05-20T06:02:00Z</dcterms:modified>
</cp:coreProperties>
</file>