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7A69" w14:textId="43D37175" w:rsidR="0015740D" w:rsidRDefault="0015740D">
      <w:pPr>
        <w:rPr>
          <w:rStyle w:val="Siln"/>
          <w:rFonts w:ascii="Raleway" w:hAnsi="Raleway"/>
          <w:color w:val="2A2A28"/>
          <w:shd w:val="clear" w:color="auto" w:fill="FFFFFF"/>
        </w:rPr>
      </w:pPr>
      <w:r>
        <w:rPr>
          <w:rStyle w:val="Siln"/>
          <w:rFonts w:ascii="Raleway" w:hAnsi="Raleway"/>
          <w:color w:val="2A2A28"/>
          <w:shd w:val="clear" w:color="auto" w:fill="FFFFFF"/>
        </w:rPr>
        <w:t>DODATEK KE ŠKOLNÍMU ŘÁDU - ZÁKAZ  HHC</w:t>
      </w:r>
    </w:p>
    <w:p w14:paraId="2096865C" w14:textId="77777777" w:rsidR="0015740D" w:rsidRDefault="0015740D">
      <w:pPr>
        <w:rPr>
          <w:rStyle w:val="Siln"/>
          <w:rFonts w:ascii="Raleway" w:hAnsi="Raleway"/>
          <w:color w:val="2A2A28"/>
          <w:shd w:val="clear" w:color="auto" w:fill="FFFFFF"/>
        </w:rPr>
      </w:pPr>
    </w:p>
    <w:p w14:paraId="17613C8B" w14:textId="4CD7FC30" w:rsidR="0015740D" w:rsidRDefault="0015740D">
      <w:pPr>
        <w:rPr>
          <w:rStyle w:val="Siln"/>
          <w:rFonts w:ascii="Raleway" w:hAnsi="Raleway"/>
          <w:color w:val="2A2A28"/>
          <w:shd w:val="clear" w:color="auto" w:fill="FFFFFF"/>
        </w:rPr>
      </w:pPr>
      <w:r>
        <w:rPr>
          <w:rStyle w:val="Siln"/>
          <w:rFonts w:ascii="Raleway" w:hAnsi="Raleway"/>
          <w:color w:val="2A2A28"/>
          <w:shd w:val="clear" w:color="auto" w:fill="FFFFFF"/>
        </w:rPr>
        <w:t>PLATNOST DOATKU OD 1.3.2024</w:t>
      </w:r>
    </w:p>
    <w:p w14:paraId="3C9EEE11" w14:textId="5921EF5C" w:rsidR="0015740D" w:rsidRDefault="0015740D">
      <w:pPr>
        <w:rPr>
          <w:rStyle w:val="Siln"/>
          <w:rFonts w:ascii="Raleway" w:hAnsi="Raleway"/>
          <w:color w:val="2A2A28"/>
          <w:shd w:val="clear" w:color="auto" w:fill="FFFFFF"/>
        </w:rPr>
      </w:pPr>
      <w:r>
        <w:rPr>
          <w:rStyle w:val="Siln"/>
          <w:rFonts w:ascii="Raleway" w:hAnsi="Raleway"/>
          <w:color w:val="2A2A28"/>
          <w:shd w:val="clear" w:color="auto" w:fill="FFFFFF"/>
        </w:rPr>
        <w:t>ÚČINNOST DODATKU OD 1.3.2024</w:t>
      </w:r>
    </w:p>
    <w:p w14:paraId="330A3283" w14:textId="77777777" w:rsidR="0015740D" w:rsidRDefault="0015740D">
      <w:pPr>
        <w:rPr>
          <w:rStyle w:val="Siln"/>
          <w:rFonts w:ascii="Raleway" w:hAnsi="Raleway"/>
          <w:color w:val="2A2A28"/>
          <w:shd w:val="clear" w:color="auto" w:fill="FFFFFF"/>
        </w:rPr>
      </w:pPr>
    </w:p>
    <w:p w14:paraId="0FA64B12" w14:textId="519DEFED" w:rsidR="00993AFE" w:rsidRDefault="00B33D80">
      <w:pPr>
        <w:rPr>
          <w:rStyle w:val="Siln"/>
          <w:rFonts w:ascii="Raleway" w:hAnsi="Raleway"/>
          <w:color w:val="2A2A28"/>
          <w:shd w:val="clear" w:color="auto" w:fill="FFFFFF"/>
        </w:rPr>
      </w:pPr>
      <w:r>
        <w:rPr>
          <w:rStyle w:val="Siln"/>
          <w:rFonts w:ascii="Raleway" w:hAnsi="Raleway"/>
          <w:color w:val="2A2A28"/>
          <w:shd w:val="clear" w:color="auto" w:fill="FFFFFF"/>
        </w:rPr>
        <w:t>Vláda České republiky schválila dne 14. 2. 2024 novelu nařízení č. 463/2013 Sb., o seznamech návykových látek (dále jen „Nařízení“), kterou do</w:t>
      </w:r>
      <w:r w:rsidR="0015740D">
        <w:rPr>
          <w:rStyle w:val="Siln"/>
          <w:rFonts w:ascii="Raleway" w:hAnsi="Raleway"/>
          <w:color w:val="2A2A28"/>
          <w:shd w:val="clear" w:color="auto" w:fill="FFFFFF"/>
        </w:rPr>
        <w:t>šlo</w:t>
      </w:r>
      <w:r>
        <w:rPr>
          <w:rStyle w:val="Siln"/>
          <w:rFonts w:ascii="Raleway" w:hAnsi="Raleway"/>
          <w:color w:val="2A2A28"/>
          <w:shd w:val="clear" w:color="auto" w:fill="FFFFFF"/>
        </w:rPr>
        <w:t xml:space="preserve"> k přidání látek Hexahydrokanabinol (HHC), Hexahydrokanabinol-O-acetát (HHC-O) a Tetrahydrokanabinol (THCP) na seznam návykových látek, konkrétně na seznam č. 4 psychotropních látek.</w:t>
      </w:r>
    </w:p>
    <w:p w14:paraId="6DE07C51" w14:textId="5C546820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Novela Nařízení</w:t>
      </w: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vešla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v účinnost  od 1. března 2024, a to právě v závislosti na tom, </w:t>
      </w: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že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do</w:t>
      </w: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šlo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ke schválení Evropskou komisí.</w:t>
      </w:r>
    </w:p>
    <w:p w14:paraId="580E24B0" w14:textId="77777777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Novela Nařízení má mít pouze omezenou platnost, a to do 1. ledna 2025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. Omezená platnost tohoto zákazu souvisí se zákonem o psychomodulačních látkách, který je v současné době projednáván v rámci legislativního procesu. Tento zákon by měl upravovat nakládání s tzv. psychomodulačními látkami, mezi které by mělo být pravděpodobně zařazeno i HHC.</w:t>
      </w:r>
    </w:p>
    <w:p w14:paraId="31A2581E" w14:textId="6A0D6BE5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Zákaz HHC a dalších látek plat</w:t>
      </w:r>
      <w:r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í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 xml:space="preserve">  od 1. března 2024 do 1. ledna 2025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. V případě, že však nedojde k přijetí zákona o psychomodulačních látkách, zákaz může trvat i déle.</w:t>
      </w:r>
    </w:p>
    <w:p w14:paraId="3C1B4B1E" w14:textId="77777777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outlineLvl w:val="3"/>
        <w:rPr>
          <w:rFonts w:ascii="Raleway" w:eastAsia="Times New Roman" w:hAnsi="Raleway" w:cs="Times New Roman"/>
          <w:b/>
          <w:bCs/>
          <w:color w:val="793089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b/>
          <w:bCs/>
          <w:color w:val="793089"/>
          <w:kern w:val="0"/>
          <w:sz w:val="24"/>
          <w:szCs w:val="24"/>
          <w:lang w:eastAsia="cs-CZ"/>
          <w14:ligatures w14:val="none"/>
        </w:rPr>
        <w:t>Jaké jsou důsledky zákazu? </w:t>
      </w:r>
    </w:p>
    <w:p w14:paraId="7E1D9E07" w14:textId="278A01CA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Vzhledem k tomu, že tyto látky</w:t>
      </w: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jsou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dle novely Nařízení považovány za návykové látky, resp. za látky psychotropní, pak 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s těmito látkami nebude dále možné (legáln</w:t>
      </w:r>
      <w:r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ě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) volně zacházet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.</w:t>
      </w:r>
    </w:p>
    <w:p w14:paraId="51447478" w14:textId="77777777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Zacházením s návykovými látkami se ve smyslu Zákona o návykových látkách, rozumí 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koupě a prodej návykových látek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 a přípravků, jakož 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i nabývání a pozbývání dalších věcných nebo závazkových práv s nimi spojených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, zprostředkování takových smluv a zastupování při jejich uzavírání.</w:t>
      </w:r>
    </w:p>
    <w:p w14:paraId="4A34F83C" w14:textId="77777777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Dle zákona č. 167/1998 Sb., o návykových látkách a o změně některých dalších zákonů (dále jen „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Zákon o návykových látkách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“), návykové látky uvedené v příloze č. 3 nebo 4 Nařízení a přípravky je obsahující mohou být použity 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pouze k omezeným výzkumným, vědeckým a velmi omezeným terapeutickým účelům vymezeným v povolení k zacházení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. Ostatní návykové látky a přípravky je obsahující mohou být použity pouze k terapeutickým, vědeckým, výukovým, veterinárním účelům nebo i k jiným účelům na základě povolení Ministerstva zdravotnictví.</w:t>
      </w:r>
    </w:p>
    <w:p w14:paraId="6D23EB10" w14:textId="10D05ACD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 xml:space="preserve">To znamená, že jakmile </w:t>
      </w:r>
      <w:r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>vstupem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 xml:space="preserve"> novel</w:t>
      </w:r>
      <w:r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>y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 xml:space="preserve"> Nařízení v účinnost, ne</w:t>
      </w:r>
      <w:r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>ní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u w:val="single"/>
          <w:lang w:eastAsia="cs-CZ"/>
          <w14:ligatures w14:val="none"/>
        </w:rPr>
        <w:t xml:space="preserve"> legální tyto látky a zboží, které tyto látky obsahují, prodávat, distribuovat ani nakupovat či držet pro osobní potřebu. </w:t>
      </w:r>
    </w:p>
    <w:p w14:paraId="15FDB9C7" w14:textId="546D832E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lastRenderedPageBreak/>
        <w:t xml:space="preserve">Totéž platí i dle § 5 vyhlášky č. 58/2018 Sb., o doplňcích stravy a složení potravin, dle kterého do potravin nesmí být přidávány omamné a psychotropní látky ve smyslu Zákona o návykových látkách. Proto </w:t>
      </w: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není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 xml:space="preserve"> možné prodávat potraviny („edibles“) obsahující výše uvedené látky. Právě ve formě „edibles“ (bonbóny, cookies apod.) bylo HHC velmi často prodáváno.</w:t>
      </w:r>
    </w:p>
    <w:p w14:paraId="69450549" w14:textId="77777777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Podnikatelé, kteří by takové výrobky nadále vyráběli, distribuovali, dováželi, vyváželi apod., by byli trestně odpovědní ve smyslu ustanovení § 283 zákona č. 40/2009 Sb., trestní zákoník (dále jen „</w:t>
      </w:r>
      <w:r w:rsidRPr="0015740D">
        <w:rPr>
          <w:rFonts w:ascii="Raleway" w:eastAsia="Times New Roman" w:hAnsi="Raleway" w:cs="Times New Roman"/>
          <w:b/>
          <w:bCs/>
          <w:color w:val="2A2A28"/>
          <w:kern w:val="0"/>
          <w:sz w:val="24"/>
          <w:szCs w:val="24"/>
          <w:lang w:eastAsia="cs-CZ"/>
          <w14:ligatures w14:val="none"/>
        </w:rPr>
        <w:t>TZ</w:t>
      </w: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“), mohli by se tedy dopustit trestného činu Nedovolená výroba a jiné nakládání s omamnými a psychotropními látkami a s jedy.</w:t>
      </w:r>
    </w:p>
    <w:p w14:paraId="17E8A028" w14:textId="77777777" w:rsid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 w:rsidRPr="0015740D"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Spotřebitelé by pak byli trestně odpovědní v případě přechovávání těchto látek v množstvím větším než malém dle § 284 odst. 2 TZ. Pokud bude osoba držet látku v množstvím nižší, může být odpovědná za spáchání přestupku.</w:t>
      </w:r>
    </w:p>
    <w:p w14:paraId="459FD0E3" w14:textId="77777777" w:rsid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</w:p>
    <w:p w14:paraId="46208363" w14:textId="1D83F22C" w:rsidR="0015740D" w:rsidRPr="0015740D" w:rsidRDefault="0015740D" w:rsidP="0015740D">
      <w:pPr>
        <w:shd w:val="clear" w:color="auto" w:fill="FFFFFF"/>
        <w:spacing w:after="100" w:afterAutospacing="1" w:line="240" w:lineRule="auto"/>
        <w:jc w:val="both"/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</w:pPr>
      <w:r>
        <w:rPr>
          <w:rFonts w:ascii="Raleway" w:eastAsia="Times New Roman" w:hAnsi="Raleway" w:cs="Times New Roman"/>
          <w:color w:val="2A2A28"/>
          <w:kern w:val="0"/>
          <w:sz w:val="24"/>
          <w:szCs w:val="24"/>
          <w:lang w:eastAsia="cs-CZ"/>
          <w14:ligatures w14:val="none"/>
        </w:rPr>
        <w:t>Mgr. Lenka Budínská, ředitelka školy</w:t>
      </w:r>
    </w:p>
    <w:p w14:paraId="67B13BED" w14:textId="77777777" w:rsidR="0015740D" w:rsidRDefault="0015740D"/>
    <w:sectPr w:rsidR="0015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06EE"/>
    <w:multiLevelType w:val="multilevel"/>
    <w:tmpl w:val="FD0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07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E"/>
    <w:rsid w:val="0015740D"/>
    <w:rsid w:val="00993AFE"/>
    <w:rsid w:val="00B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429A"/>
  <w15:chartTrackingRefBased/>
  <w15:docId w15:val="{E76D7863-FA49-41E1-B249-4F5B94E6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57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3D8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5740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5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Budínská - Zkoumavé čtení</dc:creator>
  <cp:keywords/>
  <dc:description/>
  <cp:lastModifiedBy>Lenka Budínská - Zkoumavé čtení</cp:lastModifiedBy>
  <cp:revision>3</cp:revision>
  <dcterms:created xsi:type="dcterms:W3CDTF">2024-03-04T13:30:00Z</dcterms:created>
  <dcterms:modified xsi:type="dcterms:W3CDTF">2024-03-04T13:36:00Z</dcterms:modified>
</cp:coreProperties>
</file>